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ED" w:rsidRDefault="00F422B6" w:rsidP="008B0FED">
      <w:pPr>
        <w:tabs>
          <w:tab w:val="left" w:pos="3435"/>
        </w:tabs>
        <w:jc w:val="center"/>
        <w:rPr>
          <w:rFonts w:ascii="Calisto MT" w:hAnsi="Calisto MT"/>
          <w:b/>
          <w:sz w:val="36"/>
          <w:szCs w:val="22"/>
        </w:rPr>
      </w:pPr>
      <w:r w:rsidRPr="00F422B6">
        <w:rPr>
          <w:b/>
          <w:noProof/>
          <w:sz w:val="28"/>
          <w:lang w:eastAsia="fr-FR"/>
        </w:rPr>
        <w:pict>
          <v:shapetype id="_x0000_t202" coordsize="21600,21600" o:spt="202" path="m,l,21600r21600,l21600,xe">
            <v:stroke joinstyle="miter"/>
            <v:path gradientshapeok="t" o:connecttype="rect"/>
          </v:shapetype>
          <v:shape id="Text Box 1" o:spid="_x0000_s1026" type="#_x0000_t202" style="position:absolute;left:0;text-align:left;margin-left:174.3pt;margin-top:-18.05pt;width:150.85pt;height:104.35pt;z-index:251661312;visibility:visible" filled="f" stroked="f">
            <v:textbox inset=",7.2pt,,7.2pt">
              <w:txbxContent>
                <w:p w:rsidR="008B0FED" w:rsidRPr="00B333C5" w:rsidRDefault="008B0FED" w:rsidP="008B0FED">
                  <w:pPr>
                    <w:autoSpaceDE w:val="0"/>
                    <w:autoSpaceDN w:val="0"/>
                    <w:adjustRightInd w:val="0"/>
                    <w:rPr>
                      <w:rFonts w:ascii="Calibri" w:hAnsi="Calibri"/>
                      <w:b/>
                      <w:sz w:val="32"/>
                      <w:szCs w:val="36"/>
                    </w:rPr>
                  </w:pPr>
                  <w:r w:rsidRPr="00B333C5">
                    <w:rPr>
                      <w:rFonts w:ascii="Calibri" w:hAnsi="Calibri"/>
                      <w:b/>
                      <w:i/>
                      <w:sz w:val="32"/>
                      <w:szCs w:val="36"/>
                    </w:rPr>
                    <w:t>Sud-</w:t>
                  </w:r>
                  <w:r w:rsidRPr="00B333C5">
                    <w:rPr>
                      <w:rFonts w:ascii="Calibri" w:hAnsi="Calibri"/>
                      <w:b/>
                      <w:sz w:val="32"/>
                      <w:szCs w:val="36"/>
                    </w:rPr>
                    <w:t>Solidaires BPCE</w:t>
                  </w:r>
                </w:p>
                <w:p w:rsidR="008B0FED" w:rsidRPr="007E39D5" w:rsidRDefault="008B0FED" w:rsidP="008B0FED">
                  <w:pPr>
                    <w:autoSpaceDE w:val="0"/>
                    <w:autoSpaceDN w:val="0"/>
                    <w:adjustRightInd w:val="0"/>
                    <w:rPr>
                      <w:rFonts w:ascii="Calibri" w:hAnsi="Calibri"/>
                      <w:b/>
                      <w:sz w:val="18"/>
                      <w:szCs w:val="18"/>
                    </w:rPr>
                  </w:pPr>
                  <w:r w:rsidRPr="007E39D5">
                    <w:rPr>
                      <w:rFonts w:ascii="Calibri" w:hAnsi="Calibri"/>
                      <w:b/>
                      <w:sz w:val="18"/>
                      <w:szCs w:val="18"/>
                    </w:rPr>
                    <w:t>Section CEAPC</w:t>
                  </w:r>
                </w:p>
                <w:p w:rsidR="008B0FED" w:rsidRPr="007E39D5" w:rsidRDefault="008B0FED" w:rsidP="008B0FED">
                  <w:pPr>
                    <w:autoSpaceDE w:val="0"/>
                    <w:autoSpaceDN w:val="0"/>
                    <w:adjustRightInd w:val="0"/>
                    <w:rPr>
                      <w:rFonts w:ascii="Calibri" w:hAnsi="Calibri"/>
                      <w:b/>
                      <w:sz w:val="18"/>
                      <w:szCs w:val="18"/>
                    </w:rPr>
                  </w:pPr>
                  <w:r w:rsidRPr="007E39D5">
                    <w:rPr>
                      <w:rFonts w:ascii="Calibri" w:hAnsi="Calibri"/>
                      <w:b/>
                      <w:sz w:val="18"/>
                      <w:szCs w:val="18"/>
                    </w:rPr>
                    <w:t xml:space="preserve">24, Rue du 24 février – 79000 NIORT </w:t>
                  </w:r>
                </w:p>
                <w:p w:rsidR="008B0FED" w:rsidRPr="007E39D5" w:rsidRDefault="008B0FED" w:rsidP="008B0FED">
                  <w:pPr>
                    <w:autoSpaceDE w:val="0"/>
                    <w:autoSpaceDN w:val="0"/>
                    <w:adjustRightInd w:val="0"/>
                    <w:rPr>
                      <w:rFonts w:ascii="Calibri" w:hAnsi="Calibri"/>
                      <w:b/>
                      <w:sz w:val="18"/>
                      <w:szCs w:val="18"/>
                      <w:lang w:val="en-US"/>
                    </w:rPr>
                  </w:pPr>
                  <w:r w:rsidRPr="007E39D5">
                    <w:rPr>
                      <w:rFonts w:ascii="Calibri" w:hAnsi="Calibri"/>
                      <w:b/>
                      <w:sz w:val="18"/>
                      <w:szCs w:val="18"/>
                      <w:lang w:val="en-US"/>
                    </w:rPr>
                    <w:t xml:space="preserve">tel : 05.16.36.22.15 – 05.16.36.22.16 </w:t>
                  </w:r>
                </w:p>
                <w:p w:rsidR="008B0FED" w:rsidRPr="007E39D5" w:rsidRDefault="008B0FED" w:rsidP="008B0FED">
                  <w:pPr>
                    <w:rPr>
                      <w:rFonts w:ascii="Calibri" w:hAnsi="Calibri"/>
                      <w:b/>
                      <w:sz w:val="18"/>
                      <w:szCs w:val="18"/>
                      <w:lang w:val="en-US"/>
                    </w:rPr>
                  </w:pPr>
                  <w:r w:rsidRPr="007E39D5">
                    <w:rPr>
                      <w:rFonts w:ascii="Calibri" w:hAnsi="Calibri"/>
                      <w:b/>
                      <w:sz w:val="18"/>
                      <w:szCs w:val="18"/>
                      <w:lang w:val="en-US"/>
                    </w:rPr>
                    <w:t>mel :</w:t>
                  </w:r>
                  <w:hyperlink r:id="rId5" w:history="1">
                    <w:r w:rsidRPr="007E39D5">
                      <w:rPr>
                        <w:rStyle w:val="Lienhypertexte"/>
                        <w:rFonts w:ascii="Calibri" w:hAnsi="Calibri"/>
                        <w:b/>
                        <w:sz w:val="18"/>
                        <w:szCs w:val="18"/>
                        <w:lang w:val="en-US"/>
                      </w:rPr>
                      <w:t>sudceapc@yahoo.fr</w:t>
                    </w:r>
                  </w:hyperlink>
                </w:p>
                <w:p w:rsidR="008B0FED" w:rsidRPr="00DE7A51" w:rsidRDefault="00F422B6" w:rsidP="008B0FED">
                  <w:pPr>
                    <w:rPr>
                      <w:rFonts w:ascii="Calibri" w:hAnsi="Calibri"/>
                      <w:b/>
                      <w:lang w:val="en-US"/>
                    </w:rPr>
                  </w:pPr>
                  <w:hyperlink r:id="rId6" w:history="1">
                    <w:r w:rsidR="008B0FED" w:rsidRPr="007E39D5">
                      <w:rPr>
                        <w:rStyle w:val="Lienhypertexte"/>
                        <w:rFonts w:ascii="Calibri" w:hAnsi="Calibri"/>
                        <w:b/>
                        <w:sz w:val="18"/>
                        <w:szCs w:val="18"/>
                        <w:lang w:val="en-US"/>
                      </w:rPr>
                      <w:t>www.sudbpce.com</w:t>
                    </w:r>
                  </w:hyperlink>
                </w:p>
                <w:p w:rsidR="008B0FED" w:rsidRPr="00DE7A51" w:rsidRDefault="008B0FED" w:rsidP="008B0FED">
                  <w:pPr>
                    <w:rPr>
                      <w:rFonts w:ascii="Calibri" w:hAnsi="Calibri"/>
                      <w:b/>
                      <w:sz w:val="4"/>
                      <w:szCs w:val="4"/>
                      <w:lang w:val="en-US"/>
                    </w:rPr>
                  </w:pPr>
                </w:p>
                <w:p w:rsidR="008B0FED" w:rsidRPr="00916B98" w:rsidRDefault="008B0FED" w:rsidP="008B0FED">
                  <w:pPr>
                    <w:widowControl w:val="0"/>
                    <w:suppressAutoHyphens w:val="0"/>
                    <w:autoSpaceDE w:val="0"/>
                    <w:autoSpaceDN w:val="0"/>
                    <w:adjustRightInd w:val="0"/>
                    <w:spacing w:after="240"/>
                    <w:rPr>
                      <w:rFonts w:ascii="Times" w:hAnsi="Times" w:cs="Times"/>
                      <w:b/>
                      <w:lang w:eastAsia="fr-FR"/>
                    </w:rPr>
                  </w:pPr>
                  <w:r w:rsidRPr="00916B98">
                    <w:rPr>
                      <w:rFonts w:ascii="Times" w:hAnsi="Times" w:cs="Times"/>
                      <w:b/>
                      <w:noProof/>
                      <w:lang w:eastAsia="fr-FR"/>
                    </w:rPr>
                    <w:drawing>
                      <wp:inline distT="0" distB="0" distL="0" distR="0">
                        <wp:extent cx="142875" cy="142875"/>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7E39D5">
                    <w:rPr>
                      <w:rFonts w:ascii="Calibri" w:hAnsi="Calibri" w:cs="Times"/>
                      <w:b/>
                      <w:sz w:val="18"/>
                      <w:szCs w:val="18"/>
                      <w:lang w:eastAsia="fr-FR"/>
                    </w:rPr>
                    <w:t>SUDBPCE</w:t>
                  </w:r>
                </w:p>
                <w:p w:rsidR="008B0FED" w:rsidRDefault="008B0FED" w:rsidP="008B0FED">
                  <w:pPr>
                    <w:rPr>
                      <w:rFonts w:ascii="Calibri" w:hAnsi="Calibri"/>
                      <w:b/>
                    </w:rPr>
                  </w:pPr>
                </w:p>
                <w:p w:rsidR="008B0FED" w:rsidRDefault="008B0FED" w:rsidP="008B0FED"/>
              </w:txbxContent>
            </v:textbox>
          </v:shape>
        </w:pict>
      </w:r>
      <w:r w:rsidRPr="00F422B6">
        <w:rPr>
          <w:rFonts w:ascii="Calisto MT" w:hAnsi="Calisto MT" w:cs="Calibri"/>
          <w:noProof/>
          <w:color w:val="000000"/>
          <w:lang w:eastAsia="fr-FR"/>
        </w:rPr>
        <w:pict>
          <v:shape id="Zone de texte 2" o:spid="_x0000_s1027" type="#_x0000_t202" style="position:absolute;left:0;text-align:left;margin-left:379.2pt;margin-top:.4pt;width:121.45pt;height:48.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" filled="f" stroked="f">
            <v:textbox>
              <w:txbxContent>
                <w:p w:rsidR="008B0FED" w:rsidRDefault="008B0FED" w:rsidP="008B0FED">
                  <w:r>
                    <w:rPr>
                      <w:rFonts w:ascii="Helvetica" w:hAnsi="Helvetica" w:cs="Helvetica"/>
                      <w:noProof/>
                      <w:sz w:val="24"/>
                      <w:szCs w:val="24"/>
                      <w:lang w:eastAsia="fr-FR"/>
                    </w:rPr>
                    <w:drawing>
                      <wp:inline distT="0" distB="0" distL="0" distR="0">
                        <wp:extent cx="1211668" cy="472751"/>
                        <wp:effectExtent l="0" t="0" r="7620" b="101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9912" cy="503279"/>
                                </a:xfrm>
                                <a:prstGeom prst="rect">
                                  <a:avLst/>
                                </a:prstGeom>
                                <a:noFill/>
                                <a:ln>
                                  <a:noFill/>
                                </a:ln>
                              </pic:spPr>
                            </pic:pic>
                          </a:graphicData>
                        </a:graphic>
                      </wp:inline>
                    </w:drawing>
                  </w:r>
                </w:p>
              </w:txbxContent>
            </v:textbox>
            <w10:wrap type="square"/>
          </v:shape>
        </w:pict>
      </w:r>
      <w:r w:rsidRPr="00F422B6">
        <w:rPr>
          <w:rFonts w:ascii="Calisto MT" w:hAnsi="Calisto MT" w:cs="Calibri"/>
          <w:noProof/>
          <w:color w:val="000000"/>
          <w:lang w:eastAsia="fr-FR"/>
        </w:rPr>
        <w:pict>
          <v:shape id="Zone de texte 6" o:spid="_x0000_s1028" type="#_x0000_t202" style="position:absolute;left:0;text-align:left;margin-left:19.1pt;margin-top:0;width:86.2pt;height:79.3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" filled="f" stroked="f">
            <v:textbox>
              <w:txbxContent>
                <w:p w:rsidR="008B0FED" w:rsidRDefault="008B0FED" w:rsidP="008B0FED">
                  <w:r w:rsidRPr="00ED5C96">
                    <w:rPr>
                      <w:noProof/>
                      <w:lang w:eastAsia="fr-FR"/>
                    </w:rPr>
                    <w:drawing>
                      <wp:inline distT="0" distB="0" distL="0" distR="0">
                        <wp:extent cx="883298" cy="879246"/>
                        <wp:effectExtent l="0" t="0" r="5715" b="101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6873" cy="892758"/>
                                </a:xfrm>
                                <a:prstGeom prst="rect">
                                  <a:avLst/>
                                </a:prstGeom>
                              </pic:spPr>
                            </pic:pic>
                          </a:graphicData>
                        </a:graphic>
                      </wp:inline>
                    </w:drawing>
                  </w:r>
                </w:p>
              </w:txbxContent>
            </v:textbox>
            <w10:wrap type="square"/>
          </v:shape>
        </w:pict>
      </w:r>
    </w:p>
    <w:p w:rsidR="008B0FED" w:rsidRDefault="008B0FED" w:rsidP="008B0FED">
      <w:pPr>
        <w:tabs>
          <w:tab w:val="left" w:pos="3435"/>
        </w:tabs>
        <w:jc w:val="center"/>
        <w:rPr>
          <w:rFonts w:ascii="Calisto MT" w:hAnsi="Calisto MT"/>
          <w:b/>
          <w:sz w:val="36"/>
          <w:szCs w:val="22"/>
        </w:rPr>
      </w:pPr>
    </w:p>
    <w:p w:rsidR="008B0FED" w:rsidRDefault="008B0FED" w:rsidP="008B0FED">
      <w:pPr>
        <w:tabs>
          <w:tab w:val="left" w:pos="3435"/>
        </w:tabs>
        <w:jc w:val="center"/>
        <w:rPr>
          <w:rFonts w:ascii="Calisto MT" w:hAnsi="Calisto MT"/>
          <w:b/>
          <w:sz w:val="36"/>
          <w:szCs w:val="22"/>
        </w:rPr>
      </w:pPr>
    </w:p>
    <w:p w:rsidR="008B0FED" w:rsidRDefault="008B0FED" w:rsidP="008B0FED">
      <w:pPr>
        <w:tabs>
          <w:tab w:val="left" w:pos="3435"/>
        </w:tabs>
        <w:jc w:val="center"/>
        <w:rPr>
          <w:rFonts w:ascii="Calisto MT" w:hAnsi="Calisto MT"/>
          <w:b/>
          <w:sz w:val="36"/>
          <w:szCs w:val="22"/>
        </w:rPr>
      </w:pPr>
    </w:p>
    <w:p w:rsidR="008B0FED" w:rsidRDefault="008B0FED" w:rsidP="008B0FED">
      <w:pPr>
        <w:tabs>
          <w:tab w:val="left" w:pos="3435"/>
        </w:tabs>
        <w:jc w:val="center"/>
        <w:rPr>
          <w:rFonts w:ascii="Calisto MT" w:hAnsi="Calisto MT"/>
          <w:b/>
          <w:sz w:val="36"/>
          <w:szCs w:val="22"/>
        </w:rPr>
      </w:pPr>
    </w:p>
    <w:p w:rsidR="008B0FED" w:rsidRPr="002E418C" w:rsidRDefault="008B0FED" w:rsidP="008B0FED">
      <w:pPr>
        <w:tabs>
          <w:tab w:val="left" w:pos="3435"/>
        </w:tabs>
        <w:jc w:val="center"/>
        <w:rPr>
          <w:rFonts w:ascii="Calisto MT" w:hAnsi="Calisto MT"/>
          <w:b/>
          <w:sz w:val="36"/>
          <w:szCs w:val="22"/>
        </w:rPr>
      </w:pPr>
      <w:r w:rsidRPr="002E418C">
        <w:rPr>
          <w:rFonts w:ascii="Calisto MT" w:hAnsi="Calisto MT"/>
          <w:b/>
          <w:sz w:val="36"/>
          <w:szCs w:val="22"/>
        </w:rPr>
        <w:t>QUALITÉ DE VIE AU TRAVAIL</w:t>
      </w:r>
    </w:p>
    <w:p w:rsidR="008B0FED" w:rsidRPr="002E418C" w:rsidRDefault="008B0FED" w:rsidP="008B0FED">
      <w:pPr>
        <w:tabs>
          <w:tab w:val="left" w:pos="3435"/>
        </w:tabs>
        <w:jc w:val="center"/>
        <w:rPr>
          <w:rFonts w:ascii="Calisto MT" w:hAnsi="Calisto MT"/>
          <w:b/>
          <w:sz w:val="10"/>
          <w:szCs w:val="10"/>
        </w:rPr>
      </w:pPr>
    </w:p>
    <w:p w:rsidR="008B0FED" w:rsidRPr="002E418C" w:rsidRDefault="008B0FED" w:rsidP="008B0FED">
      <w:pPr>
        <w:tabs>
          <w:tab w:val="left" w:pos="3435"/>
        </w:tabs>
        <w:jc w:val="center"/>
        <w:rPr>
          <w:rFonts w:ascii="Calisto MT" w:hAnsi="Calisto MT"/>
          <w:b/>
          <w:sz w:val="36"/>
          <w:szCs w:val="22"/>
        </w:rPr>
      </w:pPr>
      <w:r w:rsidRPr="002E418C">
        <w:rPr>
          <w:rFonts w:ascii="Calisto MT" w:hAnsi="Calisto MT"/>
          <w:b/>
          <w:sz w:val="36"/>
          <w:szCs w:val="22"/>
        </w:rPr>
        <w:t xml:space="preserve">ÉGALITÉ PROFESSIONNELLE </w:t>
      </w:r>
    </w:p>
    <w:p w:rsidR="008B0FED" w:rsidRPr="002E418C" w:rsidRDefault="008B0FED" w:rsidP="008B0FED">
      <w:pPr>
        <w:tabs>
          <w:tab w:val="left" w:pos="3435"/>
        </w:tabs>
        <w:jc w:val="center"/>
        <w:rPr>
          <w:rFonts w:ascii="Calisto MT" w:hAnsi="Calisto MT"/>
          <w:b/>
          <w:sz w:val="36"/>
          <w:szCs w:val="22"/>
        </w:rPr>
      </w:pPr>
      <w:r w:rsidRPr="002E418C">
        <w:rPr>
          <w:rFonts w:ascii="Calisto MT" w:hAnsi="Calisto MT"/>
          <w:b/>
          <w:sz w:val="36"/>
          <w:szCs w:val="22"/>
        </w:rPr>
        <w:t>ENTRE LES HOMMES ET LES FEMMES</w:t>
      </w:r>
    </w:p>
    <w:p w:rsidR="008B0FED" w:rsidRDefault="008B0FED" w:rsidP="008B0FED">
      <w:pPr>
        <w:tabs>
          <w:tab w:val="left" w:pos="3435"/>
        </w:tabs>
        <w:jc w:val="center"/>
        <w:rPr>
          <w:rFonts w:ascii="Calisto MT" w:hAnsi="Calisto MT"/>
          <w:sz w:val="22"/>
          <w:szCs w:val="22"/>
        </w:rPr>
      </w:pPr>
    </w:p>
    <w:p w:rsidR="008B0FED" w:rsidRPr="008C52DF" w:rsidRDefault="008B0FED" w:rsidP="008B0FED">
      <w:pPr>
        <w:tabs>
          <w:tab w:val="left" w:pos="3435"/>
        </w:tabs>
        <w:jc w:val="center"/>
        <w:rPr>
          <w:rFonts w:ascii="Calisto MT" w:hAnsi="Calisto MT"/>
          <w:sz w:val="24"/>
          <w:szCs w:val="22"/>
        </w:rPr>
      </w:pPr>
      <w:r w:rsidRPr="008C52DF">
        <w:rPr>
          <w:rFonts w:ascii="Calisto MT" w:hAnsi="Calisto MT"/>
          <w:sz w:val="24"/>
          <w:szCs w:val="22"/>
        </w:rPr>
        <w:t xml:space="preserve">Trois réunions de négociation, </w:t>
      </w:r>
      <w:r w:rsidRPr="008C52DF">
        <w:rPr>
          <w:rFonts w:ascii="Calisto MT" w:hAnsi="Calisto MT"/>
          <w:b/>
          <w:sz w:val="24"/>
          <w:szCs w:val="22"/>
        </w:rPr>
        <w:t>seulement</w:t>
      </w:r>
      <w:r w:rsidRPr="008C52DF">
        <w:rPr>
          <w:rFonts w:ascii="Calisto MT" w:hAnsi="Calisto MT"/>
          <w:sz w:val="24"/>
          <w:szCs w:val="22"/>
        </w:rPr>
        <w:t>, pour traiter de sujets aussi importants !</w:t>
      </w:r>
    </w:p>
    <w:p w:rsidR="008B0FED" w:rsidRPr="002E418C" w:rsidRDefault="008B0FED" w:rsidP="008B0FED">
      <w:pPr>
        <w:tabs>
          <w:tab w:val="left" w:pos="3435"/>
        </w:tabs>
        <w:rPr>
          <w:rFonts w:ascii="Calisto MT" w:hAnsi="Calisto MT"/>
          <w:sz w:val="22"/>
          <w:szCs w:val="22"/>
        </w:rPr>
      </w:pPr>
    </w:p>
    <w:p w:rsidR="008B0FED" w:rsidRDefault="008B0FED" w:rsidP="008B0FED">
      <w:pPr>
        <w:tabs>
          <w:tab w:val="left" w:pos="3435"/>
        </w:tabs>
        <w:rPr>
          <w:rFonts w:ascii="Calisto MT" w:hAnsi="Calisto MT"/>
          <w:b/>
        </w:rPr>
        <w:sectPr w:rsidR="008B0FED" w:rsidSect="008B0FED">
          <w:pgSz w:w="11900" w:h="16840"/>
          <w:pgMar w:top="720" w:right="720" w:bottom="720" w:left="720" w:header="708" w:footer="708" w:gutter="0"/>
          <w:cols w:space="708"/>
          <w:docGrid w:linePitch="360"/>
        </w:sectPr>
      </w:pPr>
    </w:p>
    <w:p w:rsidR="008B0FED" w:rsidRPr="002E418C" w:rsidRDefault="008B0FED" w:rsidP="008B0FED">
      <w:pPr>
        <w:tabs>
          <w:tab w:val="left" w:pos="3435"/>
        </w:tabs>
        <w:rPr>
          <w:rFonts w:ascii="Calisto MT" w:hAnsi="Calisto MT"/>
          <w:b/>
        </w:rPr>
      </w:pPr>
      <w:r w:rsidRPr="002E418C">
        <w:rPr>
          <w:rFonts w:ascii="Calisto MT" w:hAnsi="Calisto MT"/>
          <w:b/>
        </w:rPr>
        <w:lastRenderedPageBreak/>
        <w:t xml:space="preserve">EGALITE PROFESSIONNELLE </w:t>
      </w:r>
    </w:p>
    <w:p w:rsidR="008B0FED" w:rsidRPr="008C52DF" w:rsidRDefault="008B0FED" w:rsidP="008C52DF">
      <w:pPr>
        <w:tabs>
          <w:tab w:val="left" w:pos="3435"/>
        </w:tabs>
        <w:rPr>
          <w:rFonts w:ascii="Calisto MT" w:hAnsi="Calisto MT"/>
          <w:b/>
          <w:sz w:val="10"/>
          <w:szCs w:val="10"/>
        </w:rPr>
      </w:pPr>
    </w:p>
    <w:p w:rsidR="008B0FED" w:rsidRPr="002E418C" w:rsidRDefault="008B0FED" w:rsidP="008B0FED">
      <w:pPr>
        <w:tabs>
          <w:tab w:val="left" w:pos="3435"/>
        </w:tabs>
        <w:jc w:val="both"/>
        <w:rPr>
          <w:rFonts w:ascii="Calisto MT" w:hAnsi="Calisto MT"/>
          <w:color w:val="000000"/>
        </w:rPr>
      </w:pPr>
      <w:r w:rsidRPr="002E418C">
        <w:rPr>
          <w:rFonts w:ascii="Calisto MT" w:hAnsi="Calisto MT"/>
          <w:color w:val="000000"/>
        </w:rPr>
        <w:t>La direction se contente de bonnes intentions considérant que cette égalité est quasi acquise à la CEAPC ! Il reste pourtant beaucoup à faire : les femmes sont plus nombreuses et elles ne sont que 42% à être cadres ! Les écarts de rémunération persistent, les déroulements de carrière restent favorables aux hommes malgré quelques petites avancées récentes, loi oblige !</w:t>
      </w:r>
    </w:p>
    <w:p w:rsidR="008B0FED" w:rsidRPr="002E418C" w:rsidRDefault="008B0FED" w:rsidP="008B0FED">
      <w:pPr>
        <w:tabs>
          <w:tab w:val="left" w:pos="3435"/>
        </w:tabs>
        <w:jc w:val="both"/>
        <w:rPr>
          <w:rFonts w:ascii="Calisto MT" w:hAnsi="Calisto MT"/>
          <w:color w:val="000000"/>
        </w:rPr>
      </w:pPr>
      <w:r w:rsidRPr="002E418C">
        <w:rPr>
          <w:rFonts w:ascii="Calisto MT" w:hAnsi="Calisto MT"/>
          <w:color w:val="000000"/>
        </w:rPr>
        <w:t xml:space="preserve">Depuis des années nous demandons la création d’un véritable observatoire de l’égalité professionnelle et celui que nous propose la direction dans cet accord n’a rien d’engageant. Il est évident que la direction n’a aucune volonté de comparer la situation professionnelle des hommes et des femmes de la CEAPC. </w:t>
      </w:r>
    </w:p>
    <w:p w:rsidR="008B0FED" w:rsidRPr="002E418C" w:rsidRDefault="008B0FED" w:rsidP="008B0FED">
      <w:pPr>
        <w:tabs>
          <w:tab w:val="left" w:pos="3435"/>
        </w:tabs>
        <w:jc w:val="both"/>
        <w:rPr>
          <w:rFonts w:ascii="Calisto MT" w:hAnsi="Calisto MT"/>
          <w:color w:val="000000"/>
        </w:rPr>
      </w:pPr>
      <w:r w:rsidRPr="002E418C">
        <w:rPr>
          <w:rFonts w:ascii="Calisto MT" w:hAnsi="Calisto MT"/>
          <w:color w:val="000000"/>
        </w:rPr>
        <w:t>Nul be</w:t>
      </w:r>
      <w:r w:rsidR="0042566A">
        <w:rPr>
          <w:rFonts w:ascii="Calisto MT" w:hAnsi="Calisto MT"/>
          <w:color w:val="000000"/>
        </w:rPr>
        <w:t>soin de se demander pourquoi : Économies, É</w:t>
      </w:r>
      <w:r w:rsidRPr="002E418C">
        <w:rPr>
          <w:rFonts w:ascii="Calisto MT" w:hAnsi="Calisto MT"/>
          <w:color w:val="000000"/>
        </w:rPr>
        <w:t>conomies !!</w:t>
      </w:r>
    </w:p>
    <w:p w:rsidR="008B0FED" w:rsidRPr="002E418C" w:rsidRDefault="008B0FED" w:rsidP="008B0FED">
      <w:pPr>
        <w:tabs>
          <w:tab w:val="left" w:pos="3435"/>
        </w:tabs>
        <w:jc w:val="both"/>
        <w:rPr>
          <w:rFonts w:ascii="Calisto MT" w:hAnsi="Calisto MT"/>
        </w:rPr>
      </w:pPr>
    </w:p>
    <w:p w:rsidR="008B0FED" w:rsidRPr="002E418C" w:rsidRDefault="008B0FED" w:rsidP="008B0FED">
      <w:pPr>
        <w:tabs>
          <w:tab w:val="left" w:pos="3435"/>
        </w:tabs>
        <w:rPr>
          <w:rFonts w:ascii="Calisto MT" w:hAnsi="Calisto MT"/>
          <w:b/>
        </w:rPr>
      </w:pPr>
      <w:r w:rsidRPr="002E418C">
        <w:rPr>
          <w:rFonts w:ascii="Calisto MT" w:hAnsi="Calisto MT"/>
          <w:b/>
        </w:rPr>
        <w:t>QUALITE DE VIE AU TRAVAIL</w:t>
      </w:r>
      <w:r w:rsidR="008C52DF">
        <w:rPr>
          <w:rFonts w:ascii="Calisto MT" w:hAnsi="Calisto MT"/>
          <w:b/>
        </w:rPr>
        <w:t xml:space="preserve"> (QVT)</w:t>
      </w:r>
    </w:p>
    <w:p w:rsidR="008B0FED" w:rsidRPr="008C52DF" w:rsidRDefault="008B0FED" w:rsidP="008B0FED">
      <w:pPr>
        <w:tabs>
          <w:tab w:val="left" w:pos="3435"/>
        </w:tabs>
        <w:rPr>
          <w:rFonts w:ascii="Calisto MT" w:hAnsi="Calisto MT"/>
          <w:sz w:val="10"/>
          <w:szCs w:val="10"/>
        </w:rPr>
      </w:pPr>
    </w:p>
    <w:p w:rsidR="008B0FED" w:rsidRPr="002E418C" w:rsidRDefault="008B0FED" w:rsidP="008B0FED">
      <w:pPr>
        <w:tabs>
          <w:tab w:val="left" w:pos="3435"/>
        </w:tabs>
        <w:rPr>
          <w:rFonts w:ascii="Calisto MT" w:hAnsi="Calisto MT"/>
        </w:rPr>
      </w:pPr>
      <w:r w:rsidRPr="002E418C">
        <w:rPr>
          <w:rFonts w:ascii="Calisto MT" w:hAnsi="Calisto MT"/>
        </w:rPr>
        <w:t>La direction nous propose 2 projets d’accord: Qualité de vie au travail et extension du télétravail.</w:t>
      </w:r>
    </w:p>
    <w:p w:rsidR="008B0FED" w:rsidRPr="008C52DF" w:rsidRDefault="008B0FED" w:rsidP="008B0FED">
      <w:pPr>
        <w:tabs>
          <w:tab w:val="left" w:pos="3435"/>
        </w:tabs>
        <w:rPr>
          <w:rFonts w:ascii="Calisto MT" w:hAnsi="Calisto MT"/>
          <w:sz w:val="10"/>
          <w:szCs w:val="10"/>
        </w:rPr>
      </w:pPr>
    </w:p>
    <w:p w:rsidR="008C52DF" w:rsidRPr="008C52DF" w:rsidRDefault="008B0FED" w:rsidP="008C52DF">
      <w:pPr>
        <w:pStyle w:val="Paragraphedeliste"/>
        <w:numPr>
          <w:ilvl w:val="0"/>
          <w:numId w:val="2"/>
        </w:numPr>
        <w:tabs>
          <w:tab w:val="left" w:pos="3435"/>
        </w:tabs>
        <w:jc w:val="both"/>
        <w:rPr>
          <w:rFonts w:ascii="Calisto MT" w:hAnsi="Calisto MT"/>
          <w:b/>
          <w:i/>
        </w:rPr>
      </w:pPr>
      <w:r w:rsidRPr="008C52DF">
        <w:rPr>
          <w:rFonts w:ascii="Calisto MT" w:hAnsi="Calisto MT"/>
          <w:b/>
          <w:i/>
        </w:rPr>
        <w:t>QVT</w:t>
      </w:r>
    </w:p>
    <w:p w:rsidR="008B0FED" w:rsidRPr="008C52DF" w:rsidRDefault="008B0FED" w:rsidP="008C52DF">
      <w:pPr>
        <w:tabs>
          <w:tab w:val="left" w:pos="3435"/>
        </w:tabs>
        <w:jc w:val="both"/>
        <w:rPr>
          <w:rFonts w:ascii="Calisto MT" w:hAnsi="Calisto MT"/>
          <w:b/>
        </w:rPr>
      </w:pPr>
      <w:r w:rsidRPr="008C52DF">
        <w:rPr>
          <w:rFonts w:ascii="Calisto MT" w:hAnsi="Calisto MT"/>
          <w:color w:val="000000"/>
        </w:rPr>
        <w:t xml:space="preserve">Cette négociation aurait pu être l’occasion de vraiment améliorer les conditions de travail mais pas du tout car pour la direction tout va bien.   </w:t>
      </w:r>
    </w:p>
    <w:p w:rsidR="008B0FED" w:rsidRPr="002E418C" w:rsidRDefault="008B0FED" w:rsidP="008C52DF">
      <w:pPr>
        <w:tabs>
          <w:tab w:val="left" w:pos="3435"/>
        </w:tabs>
        <w:jc w:val="both"/>
        <w:rPr>
          <w:rFonts w:ascii="Calisto MT" w:hAnsi="Calisto MT"/>
          <w:color w:val="000000"/>
        </w:rPr>
      </w:pPr>
      <w:r w:rsidRPr="002E418C">
        <w:rPr>
          <w:rFonts w:ascii="Calisto MT" w:hAnsi="Calisto MT"/>
          <w:color w:val="000000"/>
        </w:rPr>
        <w:t xml:space="preserve">Elle refuse systématiquement de faire une évaluation de la charge de travail qui pour nous est </w:t>
      </w:r>
      <w:r w:rsidRPr="002E418C">
        <w:rPr>
          <w:rFonts w:ascii="Calisto MT" w:hAnsi="Calisto MT"/>
          <w:b/>
          <w:color w:val="000000"/>
        </w:rPr>
        <w:t>le préalable indispensable</w:t>
      </w:r>
      <w:r w:rsidRPr="002E418C">
        <w:rPr>
          <w:rFonts w:ascii="Calisto MT" w:hAnsi="Calisto MT"/>
          <w:color w:val="000000"/>
        </w:rPr>
        <w:t xml:space="preserve"> à la négociation. Aurait-elle peur d’avoir à reconnaitre que les conditions de travail sont désastreuses, que le sous-effectif et la pression sont monnaie courante, que le personnel est épuisé ? Ou bien est-ce encore l’expression de leur mépris ?  La direction peut bien sûr nier cette évidence, nous savons toutes et tous ce qu’il en est. RHD 20#20 n’a fait qu’aggraver une situation déjà tendue.</w:t>
      </w:r>
    </w:p>
    <w:p w:rsidR="008B0FED" w:rsidRPr="002E418C" w:rsidRDefault="008B0FED" w:rsidP="008B0FED">
      <w:pPr>
        <w:tabs>
          <w:tab w:val="left" w:pos="3435"/>
        </w:tabs>
        <w:jc w:val="both"/>
        <w:rPr>
          <w:rFonts w:ascii="Calisto MT" w:hAnsi="Calisto MT"/>
          <w:color w:val="000000"/>
        </w:rPr>
      </w:pPr>
      <w:r w:rsidRPr="002E418C">
        <w:rPr>
          <w:rFonts w:ascii="Calisto MT" w:hAnsi="Calisto MT"/>
          <w:color w:val="000000"/>
        </w:rPr>
        <w:lastRenderedPageBreak/>
        <w:t xml:space="preserve">Ce n’est pas la simplification des processus, une nouvelle charte de management, ou la reprise de l’accord national GPEC qui va compenser le manque de personnel et la difficulté de chacun-e à exercer son métier sereinement. </w:t>
      </w:r>
    </w:p>
    <w:p w:rsidR="008B0FED" w:rsidRPr="002E418C" w:rsidRDefault="008B0FED" w:rsidP="008B0FED">
      <w:pPr>
        <w:tabs>
          <w:tab w:val="left" w:pos="3435"/>
        </w:tabs>
        <w:jc w:val="both"/>
        <w:rPr>
          <w:rFonts w:ascii="Calisto MT" w:hAnsi="Calisto MT"/>
          <w:color w:val="000000"/>
        </w:rPr>
      </w:pPr>
      <w:r w:rsidRPr="002E418C">
        <w:rPr>
          <w:rFonts w:ascii="Calisto MT" w:hAnsi="Calisto MT"/>
          <w:color w:val="000000"/>
        </w:rPr>
        <w:t>Seule petite concession des RH : la création d’une règle de remplacement pour pallier aux absences des GC. Rien pour les autres métiers !</w:t>
      </w:r>
    </w:p>
    <w:p w:rsidR="008B0FED" w:rsidRPr="002E418C" w:rsidRDefault="008B0FED" w:rsidP="008B0FED">
      <w:pPr>
        <w:tabs>
          <w:tab w:val="left" w:pos="3435"/>
        </w:tabs>
        <w:jc w:val="both"/>
        <w:rPr>
          <w:rFonts w:ascii="Calisto MT" w:hAnsi="Calisto MT"/>
          <w:color w:val="000000"/>
        </w:rPr>
      </w:pPr>
      <w:r w:rsidRPr="002E418C">
        <w:rPr>
          <w:rFonts w:ascii="Calisto MT" w:hAnsi="Calisto MT"/>
          <w:color w:val="000000"/>
        </w:rPr>
        <w:t xml:space="preserve">Ce n’est pas une gloire de recréer dans cet accord une règle qui existait avant la fusion et que </w:t>
      </w:r>
      <w:r w:rsidRPr="002E418C">
        <w:rPr>
          <w:rFonts w:ascii="Calisto MT" w:hAnsi="Calisto MT"/>
          <w:b/>
          <w:i/>
          <w:color w:val="000000"/>
        </w:rPr>
        <w:t>Sud</w:t>
      </w:r>
      <w:r w:rsidRPr="002E418C">
        <w:rPr>
          <w:rFonts w:ascii="Calisto MT" w:hAnsi="Calisto MT"/>
          <w:color w:val="000000"/>
        </w:rPr>
        <w:t xml:space="preserve">-Solidaires avait défendu et obtenu. </w:t>
      </w:r>
    </w:p>
    <w:p w:rsidR="008B0FED" w:rsidRPr="002E418C" w:rsidRDefault="008B0FED" w:rsidP="008B0FED">
      <w:pPr>
        <w:tabs>
          <w:tab w:val="left" w:pos="3435"/>
        </w:tabs>
        <w:jc w:val="both"/>
        <w:rPr>
          <w:rFonts w:ascii="Calisto MT" w:hAnsi="Calisto MT"/>
          <w:strike/>
          <w:color w:val="000000"/>
        </w:rPr>
      </w:pPr>
      <w:r w:rsidRPr="002E418C">
        <w:rPr>
          <w:rFonts w:ascii="Calisto MT" w:hAnsi="Calisto MT"/>
          <w:color w:val="000000"/>
        </w:rPr>
        <w:t>La direction continue de refuser, malgré nos nombreuses demandes, à mettre en place une équipe volante. Solution pourtant possible car existante dans d’autres caisses et faisant ses preuves en termes de remplacements rapides lorsque nos collègues sont absent-es.</w:t>
      </w:r>
    </w:p>
    <w:p w:rsidR="008B0FED" w:rsidRPr="002E418C" w:rsidRDefault="008B0FED" w:rsidP="008B0FED">
      <w:pPr>
        <w:tabs>
          <w:tab w:val="left" w:pos="3435"/>
        </w:tabs>
        <w:jc w:val="both"/>
        <w:rPr>
          <w:rFonts w:ascii="Calisto MT" w:hAnsi="Calisto MT"/>
          <w:strike/>
          <w:color w:val="000000"/>
        </w:rPr>
      </w:pPr>
    </w:p>
    <w:p w:rsidR="008B0FED" w:rsidRPr="008C52DF" w:rsidRDefault="008B0FED" w:rsidP="008C52DF">
      <w:pPr>
        <w:pStyle w:val="Paragraphedeliste"/>
        <w:numPr>
          <w:ilvl w:val="0"/>
          <w:numId w:val="2"/>
        </w:numPr>
        <w:tabs>
          <w:tab w:val="left" w:pos="3435"/>
        </w:tabs>
        <w:rPr>
          <w:rFonts w:ascii="Calisto MT" w:hAnsi="Calisto MT"/>
          <w:b/>
          <w:i/>
        </w:rPr>
      </w:pPr>
      <w:r w:rsidRPr="008C52DF">
        <w:rPr>
          <w:rFonts w:ascii="Calisto MT" w:hAnsi="Calisto MT"/>
          <w:b/>
          <w:i/>
        </w:rPr>
        <w:t>TELETRAVAIL </w:t>
      </w:r>
    </w:p>
    <w:p w:rsidR="008B0FED" w:rsidRPr="002E418C" w:rsidRDefault="008B0FED" w:rsidP="008B0FED">
      <w:pPr>
        <w:tabs>
          <w:tab w:val="left" w:pos="3435"/>
        </w:tabs>
        <w:jc w:val="both"/>
        <w:rPr>
          <w:rFonts w:ascii="Calisto MT" w:hAnsi="Calisto MT"/>
          <w:b/>
          <w:color w:val="000000"/>
        </w:rPr>
      </w:pPr>
      <w:r w:rsidRPr="002E418C">
        <w:rPr>
          <w:rFonts w:ascii="Calisto MT" w:hAnsi="Calisto MT"/>
          <w:color w:val="000000"/>
        </w:rPr>
        <w:t xml:space="preserve">Les salarié-es sont de plus en plus nombreux-ses à vouloir tester le télétravail, ce que nous pouvons comprendre. En effet lorsqu’il, s’agit de travailler au bruit dans des espaces partagés, la concentration est épuisante, et après avoir passé parfois une heure ou plus sur la route ou dans les transports en commun, le fait de rester travailler à la maison peut être source de confort. Mais il ne faut pas que cela soit plus d’une journée par semaine, voire deux au maximum, de crainte de se retrouver trop isolé. Cela peut permettre d’emmener les enfants à l’école et de travailler plus « sereinement », pourquoi pas. Par contre il ne faut pas occulter que le télétravail peut être source de surcharge de travail et d’augmentation du temps de travail. Les salarié-es qui font ce choix-là doivent en être conscient-es et y être vigilant-es. Le syndicat </w:t>
      </w:r>
      <w:r w:rsidRPr="002E418C">
        <w:rPr>
          <w:rFonts w:ascii="Calisto MT" w:hAnsi="Calisto MT"/>
          <w:b/>
          <w:i/>
          <w:color w:val="000000"/>
        </w:rPr>
        <w:t>Sud</w:t>
      </w:r>
      <w:r w:rsidRPr="002E418C">
        <w:rPr>
          <w:rFonts w:ascii="Calisto MT" w:hAnsi="Calisto MT"/>
          <w:color w:val="000000"/>
        </w:rPr>
        <w:t>-Solidaires se doit d’être à l’écoute des demandes de ses adhérent-es et collègues mais reste très attentif à ce que le télétravail ne devienne pas nocif pour la santé de celles et ceux qui le mettent en pratique.</w:t>
      </w:r>
    </w:p>
    <w:p w:rsidR="008B0FED" w:rsidRDefault="008B0FED" w:rsidP="008B0FED">
      <w:pPr>
        <w:tabs>
          <w:tab w:val="left" w:pos="3435"/>
        </w:tabs>
        <w:jc w:val="both"/>
        <w:rPr>
          <w:rFonts w:ascii="Calisto MT" w:hAnsi="Calisto MT"/>
          <w:color w:val="000000"/>
        </w:rPr>
        <w:sectPr w:rsidR="008B0FED" w:rsidSect="008B0FED">
          <w:type w:val="continuous"/>
          <w:pgSz w:w="11900" w:h="16840"/>
          <w:pgMar w:top="720" w:right="720" w:bottom="720" w:left="720" w:header="708" w:footer="708" w:gutter="0"/>
          <w:cols w:num="2" w:space="708"/>
          <w:docGrid w:linePitch="360"/>
        </w:sectPr>
      </w:pPr>
    </w:p>
    <w:p w:rsidR="008C52DF" w:rsidRDefault="008C52DF" w:rsidP="008B0FED">
      <w:pPr>
        <w:tabs>
          <w:tab w:val="left" w:pos="3435"/>
        </w:tabs>
        <w:jc w:val="both"/>
        <w:rPr>
          <w:rFonts w:ascii="Calisto MT" w:hAnsi="Calisto MT"/>
          <w:color w:val="000000"/>
        </w:rPr>
      </w:pPr>
    </w:p>
    <w:p w:rsidR="008B0FED" w:rsidRPr="008C52DF" w:rsidRDefault="008B0FED" w:rsidP="008B0FED">
      <w:pPr>
        <w:tabs>
          <w:tab w:val="left" w:pos="3435"/>
        </w:tabs>
        <w:jc w:val="both"/>
        <w:rPr>
          <w:rFonts w:ascii="Calisto MT" w:hAnsi="Calisto MT"/>
          <w:b/>
          <w:i/>
          <w:color w:val="000000"/>
          <w:sz w:val="22"/>
          <w:szCs w:val="22"/>
        </w:rPr>
      </w:pPr>
      <w:r w:rsidRPr="008C52DF">
        <w:rPr>
          <w:rFonts w:ascii="Calisto MT" w:hAnsi="Calisto MT"/>
          <w:b/>
          <w:i/>
          <w:color w:val="000000"/>
          <w:sz w:val="22"/>
          <w:szCs w:val="22"/>
        </w:rPr>
        <w:t>En conclusion Sud-Solidaires est signataire de l’accord sur le télétravail mais ne signe ni l’accord sur l’Egalité Professionnelle Hommes/Femmes ni celui sur la QVT qui ne sont que des accords d’affichage sans aucune volonté de la direction d’améliorer l’existant. Pire elle nie carrément les réalités vécues par toutes et tous les salarié-es de la CEAPC.</w:t>
      </w:r>
    </w:p>
    <w:p w:rsidR="008B0FED" w:rsidRPr="002E418C" w:rsidRDefault="008B0FED" w:rsidP="008B0FED">
      <w:pPr>
        <w:tabs>
          <w:tab w:val="left" w:pos="3435"/>
        </w:tabs>
        <w:jc w:val="both"/>
        <w:rPr>
          <w:rFonts w:ascii="Calisto MT" w:hAnsi="Calisto MT"/>
        </w:rPr>
      </w:pPr>
    </w:p>
    <w:p w:rsidR="008B0FED" w:rsidRPr="002E418C" w:rsidRDefault="00F422B6" w:rsidP="008B0FED">
      <w:pPr>
        <w:tabs>
          <w:tab w:val="left" w:pos="3435"/>
        </w:tabs>
        <w:jc w:val="both"/>
        <w:rPr>
          <w:rFonts w:ascii="Calisto MT" w:hAnsi="Calisto MT"/>
        </w:rPr>
      </w:pPr>
      <w:r>
        <w:rPr>
          <w:rFonts w:ascii="Calisto MT" w:hAnsi="Calisto MT"/>
          <w:noProof/>
          <w:lang w:eastAsia="fr-FR"/>
        </w:rPr>
        <w:pict>
          <v:shape id="Zone de texte 3" o:spid="_x0000_s1029" type="#_x0000_t202" style="position:absolute;left:0;text-align:left;margin-left:-1.15pt;margin-top:21.15pt;width:525pt;height:32.9pt;z-index:2516623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" filled="f" strokecolor="black [3213]" strokeweight=".5pt">
            <v:textbox>
              <w:txbxContent>
                <w:p w:rsidR="008C52DF" w:rsidRDefault="008C52DF">
                  <w:r w:rsidRPr="008C52DF">
                    <w:rPr>
                      <w:rFonts w:ascii="Calisto MT" w:hAnsi="Calisto MT" w:cs="Calibri"/>
                      <w:color w:val="000000"/>
                      <w:sz w:val="16"/>
                      <w:szCs w:val="16"/>
                    </w:rPr>
                    <w:t xml:space="preserve">Bordeaux, le 15/05/2018. Le bureau </w:t>
                  </w:r>
                  <w:r w:rsidRPr="008C52DF">
                    <w:rPr>
                      <w:rFonts w:ascii="Calisto MT" w:hAnsi="Calisto MT" w:cs="Calibri"/>
                      <w:b/>
                      <w:bCs/>
                      <w:i/>
                      <w:iCs/>
                      <w:color w:val="000000"/>
                      <w:sz w:val="16"/>
                      <w:szCs w:val="16"/>
                    </w:rPr>
                    <w:t>Sud</w:t>
                  </w:r>
                  <w:r w:rsidRPr="008C52DF">
                    <w:rPr>
                      <w:rFonts w:ascii="Calisto MT" w:hAnsi="Calisto MT" w:cs="Calibri"/>
                      <w:color w:val="000000"/>
                      <w:sz w:val="16"/>
                      <w:szCs w:val="16"/>
                    </w:rPr>
                    <w:t xml:space="preserve">-Solidaires BPCE : G. BREUILLAT, O. CASTEX, J.Ph De BORTOLI, Ch. DECHÂTRE-BONNARD, </w:t>
                  </w:r>
                  <w:bookmarkStart w:id="0" w:name="_GoBack"/>
                  <w:bookmarkEnd w:id="0"/>
                  <w:r w:rsidRPr="008C52DF">
                    <w:rPr>
                      <w:rFonts w:ascii="Calisto MT" w:hAnsi="Calisto MT" w:cs="Calibri"/>
                      <w:color w:val="000000"/>
                      <w:sz w:val="16"/>
                      <w:szCs w:val="16"/>
                    </w:rPr>
                    <w:t>A. DUHART, H. FEUGA, B. JOLLY, G. MENANDEZ, F. MONMARIN et N. PAITREAULT</w:t>
                  </w:r>
                  <w:r>
                    <w:rPr>
                      <w:rFonts w:ascii="Calisto MT" w:hAnsi="Calisto MT" w:cs="Calibri"/>
                      <w:color w:val="000000"/>
                      <w:sz w:val="16"/>
                      <w:szCs w:val="16"/>
                    </w:rPr>
                    <w:t>.</w:t>
                  </w:r>
                </w:p>
              </w:txbxContent>
            </v:textbox>
            <w10:wrap type="square"/>
          </v:shape>
        </w:pict>
      </w:r>
    </w:p>
    <w:p w:rsidR="00A85FB0" w:rsidRPr="008C52DF" w:rsidRDefault="00A85FB0" w:rsidP="008C52DF">
      <w:pPr>
        <w:autoSpaceDE w:val="0"/>
        <w:autoSpaceDN w:val="0"/>
        <w:adjustRightInd w:val="0"/>
        <w:jc w:val="both"/>
        <w:rPr>
          <w:rFonts w:ascii="Calisto MT" w:hAnsi="Calisto MT" w:cs="Calibri"/>
          <w:color w:val="000000"/>
          <w:sz w:val="16"/>
          <w:szCs w:val="16"/>
        </w:rPr>
      </w:pPr>
    </w:p>
    <w:sectPr w:rsidR="00A85FB0" w:rsidRPr="008C52DF" w:rsidSect="008B0FED">
      <w:type w:val="continuous"/>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74D11"/>
    <w:multiLevelType w:val="hybridMultilevel"/>
    <w:tmpl w:val="78DE52C6"/>
    <w:lvl w:ilvl="0" w:tplc="DC00946C">
      <w:start w:val="2"/>
      <w:numFmt w:val="bullet"/>
      <w:lvlText w:val="-"/>
      <w:lvlJc w:val="left"/>
      <w:pPr>
        <w:ind w:left="720" w:hanging="360"/>
      </w:pPr>
      <w:rPr>
        <w:rFonts w:ascii="Calisto MT" w:eastAsia="Times New Roman"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38467D"/>
    <w:multiLevelType w:val="hybridMultilevel"/>
    <w:tmpl w:val="E2F6A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efaultTabStop w:val="708"/>
  <w:hyphenationZone w:val="425"/>
  <w:drawingGridHorizontalSpacing w:val="100"/>
  <w:displayHorizontalDrawingGridEvery w:val="2"/>
  <w:displayVerticalDrawingGridEvery w:val="2"/>
  <w:characterSpacingControl w:val="doNotCompress"/>
  <w:compat/>
  <w:rsids>
    <w:rsidRoot w:val="008B0FED"/>
    <w:rsid w:val="001E6642"/>
    <w:rsid w:val="0042566A"/>
    <w:rsid w:val="0051605C"/>
    <w:rsid w:val="008B0FED"/>
    <w:rsid w:val="008C52DF"/>
    <w:rsid w:val="00A85FB0"/>
    <w:rsid w:val="00C03B62"/>
    <w:rsid w:val="00C74B81"/>
    <w:rsid w:val="00C74D86"/>
    <w:rsid w:val="00DB3C59"/>
    <w:rsid w:val="00F422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ED"/>
    <w:pPr>
      <w:suppressAutoHyphens/>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0FED"/>
    <w:rPr>
      <w:color w:val="0000FF"/>
      <w:u w:val="single"/>
    </w:rPr>
  </w:style>
  <w:style w:type="paragraph" w:styleId="Paragraphedeliste">
    <w:name w:val="List Paragraph"/>
    <w:basedOn w:val="Normal"/>
    <w:uiPriority w:val="34"/>
    <w:qFormat/>
    <w:rsid w:val="008C52DF"/>
    <w:pPr>
      <w:ind w:left="720"/>
      <w:contextualSpacing/>
    </w:pPr>
  </w:style>
  <w:style w:type="paragraph" w:styleId="Textedebulles">
    <w:name w:val="Balloon Text"/>
    <w:basedOn w:val="Normal"/>
    <w:link w:val="TextedebullesCar"/>
    <w:uiPriority w:val="99"/>
    <w:semiHidden/>
    <w:unhideWhenUsed/>
    <w:rsid w:val="0051605C"/>
    <w:rPr>
      <w:rFonts w:ascii="Tahoma" w:hAnsi="Tahoma" w:cs="Tahoma"/>
      <w:sz w:val="16"/>
      <w:szCs w:val="16"/>
    </w:rPr>
  </w:style>
  <w:style w:type="character" w:customStyle="1" w:styleId="TextedebullesCar">
    <w:name w:val="Texte de bulles Car"/>
    <w:basedOn w:val="Policepardfaut"/>
    <w:link w:val="Textedebulles"/>
    <w:uiPriority w:val="99"/>
    <w:semiHidden/>
    <w:rsid w:val="0051605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dbpce.com" TargetMode="External"/><Relationship Id="rId11" Type="http://schemas.openxmlformats.org/officeDocument/2006/relationships/theme" Target="theme/theme1.xml"/><Relationship Id="rId5" Type="http://schemas.openxmlformats.org/officeDocument/2006/relationships/hyperlink" Target="mailto:sudceapc@yahoo.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BONNARD</dc:creator>
  <cp:lastModifiedBy>SUD BPCE</cp:lastModifiedBy>
  <cp:revision>2</cp:revision>
  <dcterms:created xsi:type="dcterms:W3CDTF">2018-05-15T09:09:00Z</dcterms:created>
  <dcterms:modified xsi:type="dcterms:W3CDTF">2018-05-15T09:09:00Z</dcterms:modified>
</cp:coreProperties>
</file>